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1ec5807536f467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14621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SVETA KLARA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3.074.673,34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3.570.140,43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2.932.265,43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3.622.366,70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52.226,27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88.163,28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86.995,28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88.163,28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86.995,28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139.221,55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Manjak prihoda i primitaka odnosi se na tekuće poslovanje u izvještajnom razdoblju.  Do manjka je došlo zbog nedospjelih refundacija koje su bile potrebne za nabavu nefinancijske imovine. Osim toga, do manjka je došlo zbog nedospjele refundacije za podmirenje obveza za udžbenike. A također, manjak je veći zbog evidentiranja rashoda za plaće za mjesec prosinac 2025.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2.287.706,44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2.457.125,51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bl>
    <w:p>
      <w:pPr>
        <w:spacing w:before="0" w:after="0"/>
      </w:pPr>
    </w:p>
    <w:p>
      <w:r>
        <w:t xml:space="preserve">Iskazani su prihodi koje škola ostvaruje iz državnog proračuna za plaće i materijalna prava zaposlenika prema Kolektivnom ugovoru. Prihodi su povećani u odnosu na isto razdoblje prethodne godine zbog povećanja prihoda za plaće radnika (povećanje osnovice za obračun plaće), zbog psiho-dijagnostičkih sredstava te većeg broja prava zaposlenika na materijalna prava.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84.938,77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56.943,98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w:t>
            </w:r>
          </w:p>
        </w:tc>
      </w:tr>
    </w:tbl>
    <w:p>
      <w:pPr>
        <w:spacing w:before="0" w:after="0"/>
      </w:pPr>
    </w:p>
    <w:p>
      <w:r>
        <w:t xml:space="preserve">Iskazani su prihodi koje škola ostvaruje iz državnog proračuna za udžbenike i lektire. Prihodi su smanjeni u odnosu na isto razdoblje prethodne godine zbog toga što je bila manja potreba za naručivanjem novih udžbenika.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137,5</w:t>
            </w:r>
          </w:p>
        </w:tc>
      </w:tr>
    </w:tbl>
    <w:p>
      <w:pPr>
        <w:spacing w:before="0" w:after="0"/>
      </w:pPr>
    </w:p>
    <w:p>
      <w:r>
        <w:t xml:space="preserve">Iskazani su prihodi koje škola ostvaruje temeljem uplate za Medni dan. Prihodi su povećani u odnosu na isto razdoblje prethodne godine zbog većeg broja učenika prvih razreda.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8.574,85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w:t>
            </w:r>
          </w:p>
        </w:tc>
      </w:tr>
    </w:tbl>
    <w:p>
      <w:pPr>
        <w:spacing w:before="0" w:after="0"/>
      </w:pPr>
    </w:p>
    <w:p>
      <w:r>
        <w:t xml:space="preserve">Na ovom kontu evidentirani su prihodi za Shemu voća i mlijeka koji su povećani u odnosu na prethodno razdoblje zbog povećanja broja učenika.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101.970,15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99.611,63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w:t>
            </w:r>
          </w:p>
        </w:tc>
      </w:tr>
    </w:tbl>
    <w:p>
      <w:pPr>
        <w:spacing w:before="0" w:after="0"/>
      </w:pPr>
    </w:p>
    <w:p>
      <w:r>
        <w:t xml:space="preserve">Iskazani su prihodi od uplate roditelja za školsku prehranu i produženi boravak. Prihodi su smanjeni u odnosu na prethodno razdoblje zbog uvođenja ručka samo za 3. i 4. razrede. uz produženi boravak.</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20.483,69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w:t>
            </w:r>
          </w:p>
        </w:tc>
      </w:tr>
    </w:tbl>
    <w:p>
      <w:pPr>
        <w:spacing w:before="0" w:after="0"/>
      </w:pPr>
    </w:p>
    <w:p>
      <w:r>
        <w:t xml:space="preserve">Iskazan je prihod od pružanja usluga najma školske dvorane i ostalih prostorija škole. Iskazani iznos je manji u odnosu na prošlo izvještajno razdoblje zbog manjeg broja korisnika u dvorani.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546.754,62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901.553,57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164,9</w:t>
            </w:r>
          </w:p>
        </w:tc>
      </w:tr>
    </w:tbl>
    <w:p>
      <w:pPr>
        <w:spacing w:before="0" w:after="0"/>
      </w:pPr>
    </w:p>
    <w:p>
      <w:r>
        <w:t xml:space="preserve">Iskazani su prihodi iz nadležnog proračuna (Grada Zagreba) za tekuće poslovanje. Prihod je veći u odnosu na prošlo izvještajno razdoblje zbog dobivenih sufinanciranih sredstava za prehranu učenika, financiranja zaštitarskih usluga, osiguranja imovine i refundacija sredstava za održavanje škole, refundacije sredstava za preuređenje i prenamjenu nove učionice i uređenje okoliša škole.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23.892,82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31.549,06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w:t>
            </w:r>
          </w:p>
        </w:tc>
      </w:tr>
    </w:tbl>
    <w:p>
      <w:pPr>
        <w:spacing w:before="0" w:after="0"/>
      </w:pPr>
    </w:p>
    <w:p>
      <w:r>
        <w:t xml:space="preserve">Iskazani su prihodi iz nadležnog proračuna (Grad Zagreb) za nabavu nefinancijske imovine. Prihod je povećan u odnosu na prošlo izvještajno razdoblje zbog veće nabave nefinancijske imovine za namještanje nove učionice i nabavu za postojeće.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1.973.734,04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2.368.876,98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w:t>
            </w:r>
          </w:p>
        </w:tc>
      </w:tr>
    </w:tbl>
    <w:p>
      <w:pPr>
        <w:spacing w:before="0" w:after="0"/>
      </w:pPr>
    </w:p>
    <w:p>
      <w:r>
        <w:t xml:space="preserve">Iskazan je rashod za plaće za redovan rad, a iznos je povećan u odnosu na prethodno izvještajno razdoblje zbog većeg broja zaposlenika te rasta plaća zaposlenika (povećanje osnovice za obračun plaće). Također, zbog ukidanja konta 19311, plaće za mjesec prosinac 2025. knjižene su kao rashod.</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81.573,96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55.920,92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w:t>
            </w:r>
          </w:p>
        </w:tc>
      </w:tr>
    </w:tbl>
    <w:p>
      <w:pPr>
        <w:spacing w:before="0" w:after="0"/>
      </w:pPr>
    </w:p>
    <w:p>
      <w:r>
        <w:t xml:space="preserve">Iskazani su rashodi za ostale rashode za zaposlenike koji je manji u odnosu na prošlo izvještajno razdoblje zbog manjeg broja prava zaposlenika na materijalna prava.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330.155,09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385.829,66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w:t>
            </w:r>
          </w:p>
        </w:tc>
      </w:tr>
    </w:tbl>
    <w:p>
      <w:pPr>
        <w:spacing w:before="0" w:after="0"/>
      </w:pPr>
    </w:p>
    <w:p>
      <w:r>
        <w:t xml:space="preserve">Iskazani su rashodi za doprinose za zdravstveno osiguranje, a iznos je povećan zbog većeg broja zaposlenika i rasta plaća zaposlenika, samim time se povećavaju i rashodi za doprinose. Također, zbog ukidanja konta 19311, doprinosi za zdravstveno osiguranje za mjesec prosinac 2025. knjiženi su kao rashodi.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w:t>
            </w:r>
          </w:p>
        </w:tc>
      </w:tr>
    </w:tbl>
    <w:p>
      <w:pPr>
        <w:spacing w:before="0" w:after="0"/>
      </w:pPr>
    </w:p>
    <w:p>
      <w:r>
        <w:t xml:space="preserve">Iskazani su rashodi za službena putovanja. Rashodi su povećani u odnosu na prethodno izvještajno razdoblje zbog većeg broja odlaska na stručne edukacije i seminare za zaposlenike.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58,9</w:t>
            </w:r>
          </w:p>
        </w:tc>
      </w:tr>
    </w:tbl>
    <w:p>
      <w:pPr>
        <w:spacing w:before="0" w:after="0"/>
      </w:pPr>
    </w:p>
    <w:p>
      <w:r>
        <w:t xml:space="preserve">Iskazani su rashodi za stručna usavršavanja zaposlenika. Rashodi su smanjeni u odnosu na prethodno izvještajno razdoblje zbog manjeg broja odlaska na stručne edukacije i seminare za zaposlenike.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29.230,41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33.189,99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w:t>
            </w:r>
          </w:p>
        </w:tc>
      </w:tr>
    </w:tbl>
    <w:p>
      <w:pPr>
        <w:spacing w:before="0" w:after="0"/>
      </w:pPr>
    </w:p>
    <w:p>
      <w:r>
        <w:t xml:space="preserve">Iskazani su rashodi za uredski materijal i ostale materijalne rashode. Rashodi su povećani u odnosu na prethodno izvještajno razdoblje zbog nabave materijala za urede i učionice.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15.644,26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211,3</w:t>
            </w:r>
          </w:p>
        </w:tc>
      </w:tr>
    </w:tbl>
    <w:p>
      <w:pPr>
        <w:spacing w:before="0" w:after="0"/>
      </w:pPr>
    </w:p>
    <w:p>
      <w:r>
        <w:t xml:space="preserve">Iskazani su rashodi za materijal i dijelove za tekuće i investicijsko održavanje, a iznos je povećan u odnosu na prethodno razdoblje zbog nabave za održavanje škole.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bl>
    <w:p>
      <w:pPr>
        <w:spacing w:before="0" w:after="0"/>
      </w:pPr>
    </w:p>
    <w:p>
      <w:r>
        <w:t xml:space="preserve">Iskazano su rashodi za sitan inventar i auto gume. Rashodi su povećani u odnosu na prethodno izvještajno razdoblje zbog nabave sitnog inventara za kuhinju.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300,1</w:t>
            </w:r>
          </w:p>
        </w:tc>
      </w:tr>
    </w:tbl>
    <w:p>
      <w:pPr>
        <w:spacing w:before="0" w:after="0"/>
      </w:pPr>
    </w:p>
    <w:p>
      <w:r>
        <w:t xml:space="preserve">Iskazani su rashodi koji su povećani u odnosu za razdoblje prošle godine za nabavu odjeće i obuće za djelatnike škole, te nabavu odjeće za nove djelatnike, tj. osoba za zaduženih za sigurnost.</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83.307,20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247.175,68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296,7</w:t>
            </w:r>
          </w:p>
        </w:tc>
      </w:tr>
    </w:tbl>
    <w:p>
      <w:pPr>
        <w:spacing w:before="0" w:after="0"/>
      </w:pPr>
    </w:p>
    <w:p>
      <w:r>
        <w:t xml:space="preserve">Iskazani su rashodi za usluge tekućeg i investicijskog održavanja koji su povećani u odnosu na prošlo izvještajno razdoblje zbog preuređenja zimskog vrta u novu učionicu, uređenja okoliša škole, popravak stepeništa za evakuaciju, ugradnja i servisiranje postojećih klima uređaja u školi, uvođenje ventilacije u školskoj dvorani, te popravak grijanja u školskoj dvorani.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20.751,29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w:t>
            </w:r>
          </w:p>
        </w:tc>
      </w:tr>
    </w:tbl>
    <w:p>
      <w:pPr>
        <w:spacing w:before="0" w:after="0"/>
      </w:pPr>
    </w:p>
    <w:p>
      <w:r>
        <w:t xml:space="preserve">Iskazano je smanjenje intelektualnih i osobnih usluga u odnosu na prethodno izvještajno razdoblje zbog toga jer bio manji broj ugovora o djelu, te manji broj intelektualnih usluga zaštita na radu.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8.841,40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25.200,64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285,0</w:t>
            </w:r>
          </w:p>
        </w:tc>
      </w:tr>
    </w:tbl>
    <w:p>
      <w:pPr>
        <w:spacing w:before="0" w:after="0"/>
      </w:pPr>
    </w:p>
    <w:p>
      <w:r>
        <w:t xml:space="preserve">Iskazani su rashodi za ostale usluge. Rashodi su povećani u odnosu na prethodno izvještajno razdoblje zbog rashoda za zaštitarske usluge koji nisu bilu u prethodnom razdoblju, te zbog većeg broja terenske nastave učenika.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4.425,99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Iskazani su rashodi za premije osiguranja. Temeljem obveze sklapanja police osiguranja za školu (KLASA: 406-05/25-005/7, UR.BR.:251-7-32/001-25-3), povećani su ovi rashodi u odnosu na prethodno razdoblje.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Povećani su rashodi za reprezentaciju zbog organiziranja dana škole.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w:t>
            </w:r>
          </w:p>
        </w:tc>
      </w:tr>
    </w:tbl>
    <w:p>
      <w:pPr>
        <w:spacing w:before="0" w:after="0"/>
      </w:pPr>
    </w:p>
    <w:p>
      <w:r>
        <w:t xml:space="preserve">Iskazani su rashodi za pristojbe i naknade, a rashodi su smanjeni zbog potpisivanja Ugovora sa dobavljačem koji ima zaposlene osobe s invaliditetom, te za to vrijeme nije bilo uplata iznosa naknada zbog nezapošljavanja invalida.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8.219,56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244,2</w:t>
            </w:r>
          </w:p>
        </w:tc>
      </w:tr>
    </w:tbl>
    <w:p>
      <w:pPr>
        <w:spacing w:before="0" w:after="0"/>
      </w:pPr>
    </w:p>
    <w:p>
      <w:r>
        <w:t xml:space="preserve">Iskazani su rashodi na kojima je došlo do povećanja zbog povećanja broja terenske nastave učenika, raznih ulaznica i slično.</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w:t>
            </w:r>
          </w:p>
        </w:tc>
      </w:tr>
    </w:tbl>
    <w:p>
      <w:pPr>
        <w:spacing w:before="0" w:after="0"/>
      </w:pPr>
    </w:p>
    <w:p>
      <w:r>
        <w:t xml:space="preserve">Iskazani su rashodi za bankarske usluge i usluge platnog prometa, a rashodi su povećani zbog većih iznosa naknada za vođenje žiro računa škole i povećanje naknada za transakcije.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Iskazani su rashodi za zatezne kamate. Rashodi su smanjeni u odnosu na prethodno izvještajno razdoblje zbog redovitog podmirenja ulaznih računa.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56.109,90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75.475,40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w:t>
            </w:r>
          </w:p>
        </w:tc>
      </w:tr>
    </w:tbl>
    <w:p>
      <w:pPr>
        <w:spacing w:before="0" w:after="0"/>
      </w:pPr>
    </w:p>
    <w:p>
      <w:r>
        <w:t xml:space="preserve">Iskazani su rashodi poslovanja zbog kojih je došlo zbog povećanja narudžbi radnih bilježnica za učenike.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26.640,60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294,2</w:t>
            </w:r>
          </w:p>
        </w:tc>
      </w:tr>
    </w:tbl>
    <w:p>
      <w:pPr>
        <w:spacing w:before="0" w:after="0"/>
      </w:pPr>
    </w:p>
    <w:p>
      <w:r>
        <w:t xml:space="preserve">Iskazani su rashodi za nabavu uredske opreme i namještaja. Rashodi su povećani u odnosu na prethodno izvještajno razdoblje zbog uređenja nove učionice i postojećih učionica.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w:t>
            </w:r>
          </w:p>
        </w:tc>
      </w:tr>
    </w:tbl>
    <w:p>
      <w:pPr>
        <w:spacing w:before="0" w:after="0"/>
      </w:pPr>
    </w:p>
    <w:p>
      <w:r>
        <w:t xml:space="preserve">Iskazani su rashodi za nabavu uređaja, strojeva i opreme za ostale namjene. Rashodi su povećani u odnosu na prethodno izvještajno razdoblje zbog nabave novih uređaja.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139.221,55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i primitaka odnosi se na tekuće poslovanje u izvještajnom razdoblju.  Do manjka je došlo zbog nedospjelih refundacija koje su bile potrebne za nabavu nefinancijske imovine. Osim toga, do manjka je došlo zbog nedospjele refundacije za podmirenje obveza za udžbenike. A također, manjak je veći zbog evidentiranja rashoda za plaće za mjesec prosinac 2025. godine.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41.605,10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 smanjenja vrijednosti imovine došlo je zbog ispravka vrijednosti građevinskih objekata, postrojenja i opreme te knjiga (amortizacija) na kraju izvještajnog razdoblja.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Do povećanja obujma imovine došlo je zbog prijenosnog računala od nadležnog tijela (Grada Zagreba) koji je isknjižio vrijednost opreme iz svojih poslovnih knjiga, te vrijednost prenosi na školu.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37.793,49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odnosi se na račune koji nisu refundirani od strane osnivača, na račune za tekuće poslovanje, na račune za udžbenike koji nisu refundirani od strane Ministarstva znanosti, obrazovanja i mladih te će te obveze biti podmirene u idućem izvještajnom razdoblju. </w:t>
      </w:r>
    </w:p>
    <w:p/>
    <w:p>
      <w:pPr>
        <w:jc w:val="center"/>
        <w:pStyle w:val="Normal"/>
        <w:spacing w:line="240" w:lineRule="auto"/>
        <w:keepNext/>
      </w:pPr>
      <w:r>
        <w:rPr>
          <w:sz w:val="28"/>
          <w:rFonts w:ascii="Times New Roman" w:hAnsi="Times New Roman"/>
        </w:rPr>
        <w:t xml:space="preserve">Bilješka 35.</w:t>
      </w:r>
    </w:p>
    <w:p>
      <w:pPr>
        <w:jc w:val="both"/>
        <w:pStyle w:val="Normal"/>
        <w:spacing w:line="240" w:lineRule="auto"/>
      </w:pPr>
      <w:r>
        <w:rPr>
          <w:b/>
          <w:sz w:val="24"/>
          <w:rFonts w:ascii="Times New Roman" w:hAnsi="Times New Roman"/>
        </w:rPr>
        <w:t xml:space="preserve">EU izvještaj</w:t>
      </w:r>
    </w:p>
    <w:p>
      <w:r>
        <w:t xml:space="preserve">Prihodi u EU izvještaju odnose se na prihode za shemu voća i mlijeka. Sva sredstva koja su dobivena za shemu utrošena su te su evidentirana na rashodima.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476e6f58e8a4042" /></Relationships>
</file>